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23EE" w14:textId="698FD3A9" w:rsidR="002142D5" w:rsidRPr="000B2965" w:rsidRDefault="002142D5" w:rsidP="002075E6">
      <w:pPr>
        <w:pStyle w:val="Heading4"/>
        <w:shd w:val="clear" w:color="auto" w:fill="002060"/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</w:pPr>
      <w:r w:rsidRPr="000B2965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 xml:space="preserve">Quick Guide </w:t>
      </w:r>
      <w:r w:rsidR="00BA5EC3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 xml:space="preserve">- </w:t>
      </w:r>
      <w:r w:rsidRPr="000B2965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 xml:space="preserve">Equality Analysis </w:t>
      </w:r>
    </w:p>
    <w:p w14:paraId="71834FAE" w14:textId="77777777" w:rsidR="002142D5" w:rsidRPr="002142D5" w:rsidRDefault="002142D5" w:rsidP="002142D5">
      <w:pPr>
        <w:spacing w:after="0"/>
        <w:rPr>
          <w:lang w:eastAsia="en-GB"/>
        </w:rPr>
      </w:pPr>
    </w:p>
    <w:p w14:paraId="5594A778" w14:textId="77777777" w:rsidR="00A45855" w:rsidRDefault="00A45855" w:rsidP="002142D5">
      <w:pPr>
        <w:spacing w:after="0"/>
        <w:rPr>
          <w:lang w:eastAsia="en-GB"/>
        </w:rPr>
      </w:pPr>
      <w:r>
        <w:rPr>
          <w:lang w:eastAsia="en-GB"/>
        </w:rPr>
        <w:t xml:space="preserve">This document is a </w:t>
      </w:r>
      <w:r w:rsidR="002142D5">
        <w:rPr>
          <w:lang w:eastAsia="en-GB"/>
        </w:rPr>
        <w:t>Q</w:t>
      </w:r>
      <w:r>
        <w:rPr>
          <w:lang w:eastAsia="en-GB"/>
        </w:rPr>
        <w:t>uick guide to Equality Analysis.  For comprehensive guidance</w:t>
      </w:r>
      <w:r w:rsidR="002142D5">
        <w:rPr>
          <w:lang w:eastAsia="en-GB"/>
        </w:rPr>
        <w:t xml:space="preserve"> and resources</w:t>
      </w:r>
      <w:r>
        <w:rPr>
          <w:lang w:eastAsia="en-GB"/>
        </w:rPr>
        <w:t xml:space="preserve">, please visit the EDU website: </w:t>
      </w:r>
    </w:p>
    <w:p w14:paraId="42E977BE" w14:textId="77777777" w:rsidR="002142D5" w:rsidRPr="002142D5" w:rsidRDefault="00000000" w:rsidP="002142D5">
      <w:pPr>
        <w:pStyle w:val="Heading4"/>
        <w:numPr>
          <w:ilvl w:val="0"/>
          <w:numId w:val="10"/>
        </w:numPr>
        <w:rPr>
          <w:rStyle w:val="Hyperlink"/>
          <w:rFonts w:asciiTheme="minorHAnsi" w:hAnsiTheme="minorHAnsi"/>
          <w:bCs/>
          <w:i w:val="0"/>
        </w:rPr>
      </w:pPr>
      <w:hyperlink r:id="rId8" w:anchor="collapse4925171" w:history="1">
        <w:r w:rsidR="00A45855" w:rsidRPr="002142D5">
          <w:rPr>
            <w:rStyle w:val="Hyperlink"/>
            <w:rFonts w:asciiTheme="minorHAnsi" w:hAnsiTheme="minorHAnsi"/>
            <w:bCs/>
            <w:i w:val="0"/>
          </w:rPr>
          <w:t>Conducting Equality Impact Analysis | Equality and Diversity Unit (ox.ac.uk)</w:t>
        </w:r>
      </w:hyperlink>
    </w:p>
    <w:p w14:paraId="11A38300" w14:textId="77777777" w:rsidR="00FC7235" w:rsidRPr="002142D5" w:rsidRDefault="00000000" w:rsidP="00FC723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9" w:history="1">
        <w:r w:rsidR="00FC7235" w:rsidRPr="002142D5">
          <w:rPr>
            <w:rStyle w:val="Hyperlink"/>
            <w:bCs/>
          </w:rPr>
          <w:t>Equality Impact Assessment Template with Guidance | Equality and Diversity Unit (ox.ac.uk)</w:t>
        </w:r>
      </w:hyperlink>
    </w:p>
    <w:p w14:paraId="48E55BB6" w14:textId="77777777" w:rsidR="00A45855" w:rsidRPr="002142D5" w:rsidRDefault="00A45855" w:rsidP="002142D5">
      <w:pPr>
        <w:pStyle w:val="Heading4"/>
        <w:spacing w:before="240"/>
        <w:rPr>
          <w:rFonts w:ascii="Segoe UI" w:eastAsia="Times New Roman" w:hAnsi="Segoe UI" w:cs="Segoe UI"/>
          <w:b/>
          <w:i w:val="0"/>
          <w:lang w:eastAsia="en-GB"/>
        </w:rPr>
      </w:pPr>
      <w:r w:rsidRPr="002142D5">
        <w:rPr>
          <w:rFonts w:ascii="Segoe UI" w:eastAsia="Times New Roman" w:hAnsi="Segoe UI" w:cs="Segoe UI"/>
          <w:b/>
          <w:i w:val="0"/>
          <w:lang w:eastAsia="en-GB"/>
        </w:rPr>
        <w:t>What is Equality Analysis?</w:t>
      </w:r>
      <w:r w:rsidRPr="0054718D">
        <w:rPr>
          <w:rFonts w:ascii="Segoe UI" w:eastAsia="Times New Roman" w:hAnsi="Segoe UI" w:cs="Segoe UI"/>
          <w:b/>
          <w:i w:val="0"/>
          <w:lang w:eastAsia="en-GB"/>
        </w:rPr>
        <w:t xml:space="preserve"> </w:t>
      </w:r>
    </w:p>
    <w:p w14:paraId="21FC1E40" w14:textId="77777777" w:rsidR="00A45855" w:rsidRPr="0054718D" w:rsidRDefault="00A45855" w:rsidP="00A45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Equality analysis is a process used to assess how university policies, procedures, and decisions 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 xml:space="preserve">(the ‘practice’) 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may affect different groups of students, staff, and the wider community, particularly those with protected characteristics 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>(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>age, disability, gender reassignment, pregnancy/maternity, marriage/civil partnership, race, religion, sex and sexual orientation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>)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>. It helps ensure that institutional decisions do not inadvertently discriminate against or disadvantage any group and that opportunities to promote equality are maximised.</w:t>
      </w:r>
    </w:p>
    <w:p w14:paraId="553EB12B" w14:textId="4F437576" w:rsidR="00A45855" w:rsidRDefault="00A45855" w:rsidP="00A45855">
      <w:pPr>
        <w:pStyle w:val="Heading4"/>
        <w:rPr>
          <w:rFonts w:ascii="Segoe UI" w:eastAsia="Times New Roman" w:hAnsi="Segoe UI" w:cs="Segoe UI"/>
          <w:b/>
          <w:i w:val="0"/>
          <w:lang w:eastAsia="en-GB"/>
        </w:rPr>
      </w:pPr>
      <w:r w:rsidRPr="002142D5">
        <w:rPr>
          <w:rFonts w:ascii="Segoe UI" w:eastAsia="Times New Roman" w:hAnsi="Segoe UI" w:cs="Segoe UI"/>
          <w:b/>
          <w:i w:val="0"/>
          <w:lang w:eastAsia="en-GB"/>
        </w:rPr>
        <w:t>Why Is Equality Analysis Important?</w:t>
      </w:r>
    </w:p>
    <w:p w14:paraId="375CAB8B" w14:textId="4A400080" w:rsidR="00BA5EC3" w:rsidRPr="0054718D" w:rsidRDefault="00BA5EC3" w:rsidP="00BA5E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Under the Equality Act 2010,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specifically the </w:t>
      </w:r>
      <w:r w:rsidRPr="00BA5EC3">
        <w:rPr>
          <w:rFonts w:ascii="Segoe UI" w:eastAsia="Times New Roman" w:hAnsi="Segoe UI" w:cs="Segoe UI"/>
          <w:b/>
          <w:sz w:val="20"/>
          <w:szCs w:val="20"/>
          <w:lang w:eastAsia="en-GB"/>
        </w:rPr>
        <w:t>Public Sector Equality Duty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, the University 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must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give consideration as to 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how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its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practices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 affect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people, and how it can develop its practices to eliminate unlawful discrimination, harassment and victimisation; advance equality of opportunity and/or foster good relations between people </w:t>
      </w:r>
      <w:r w:rsidR="00A1391F">
        <w:rPr>
          <w:rFonts w:ascii="Segoe UI" w:eastAsia="Times New Roman" w:hAnsi="Segoe UI" w:cs="Segoe UI"/>
          <w:sz w:val="20"/>
          <w:szCs w:val="20"/>
          <w:lang w:eastAsia="en-GB"/>
        </w:rPr>
        <w:t>who share a particular protected characteristic and people who do not share it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>.</w:t>
      </w:r>
    </w:p>
    <w:p w14:paraId="14C3F18F" w14:textId="1E843D00" w:rsidR="00A45855" w:rsidRPr="0054718D" w:rsidRDefault="003E1371" w:rsidP="00A458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It </w:t>
      </w:r>
      <w:r w:rsidR="006C38AB">
        <w:rPr>
          <w:rFonts w:ascii="Segoe UI" w:eastAsia="Times New Roman" w:hAnsi="Segoe UI" w:cs="Segoe UI"/>
          <w:b/>
          <w:sz w:val="20"/>
          <w:szCs w:val="20"/>
          <w:lang w:eastAsia="en-GB"/>
        </w:rPr>
        <w:t>pr</w:t>
      </w:r>
      <w:r w:rsidR="002142D5" w:rsidRPr="002142D5">
        <w:rPr>
          <w:rFonts w:ascii="Segoe UI" w:eastAsia="Times New Roman" w:hAnsi="Segoe UI" w:cs="Segoe UI"/>
          <w:b/>
          <w:sz w:val="20"/>
          <w:szCs w:val="20"/>
          <w:lang w:eastAsia="en-GB"/>
        </w:rPr>
        <w:t>omotes inclusion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 xml:space="preserve"> by ensuring </w:t>
      </w:r>
      <w:r w:rsidR="00A45855" w:rsidRPr="0054718D">
        <w:rPr>
          <w:rFonts w:ascii="Segoe UI" w:eastAsia="Times New Roman" w:hAnsi="Segoe UI" w:cs="Segoe UI"/>
          <w:sz w:val="20"/>
          <w:szCs w:val="20"/>
          <w:lang w:eastAsia="en-GB"/>
        </w:rPr>
        <w:t>that all members of the university community, including students, staff, and visitors, are treated fairly and have equal access to opportunities.</w:t>
      </w:r>
    </w:p>
    <w:p w14:paraId="3C16B59E" w14:textId="09C87C95" w:rsidR="00A45855" w:rsidRPr="0054718D" w:rsidRDefault="003E1371" w:rsidP="00A458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It </w:t>
      </w:r>
      <w:r>
        <w:rPr>
          <w:rFonts w:ascii="Segoe UI" w:eastAsia="Times New Roman" w:hAnsi="Segoe UI" w:cs="Segoe UI"/>
          <w:b/>
          <w:sz w:val="20"/>
          <w:szCs w:val="20"/>
          <w:lang w:eastAsia="en-GB"/>
        </w:rPr>
        <w:t>p</w:t>
      </w:r>
      <w:r w:rsidR="00BA5EC3">
        <w:rPr>
          <w:rFonts w:ascii="Segoe UI" w:eastAsia="Times New Roman" w:hAnsi="Segoe UI" w:cs="Segoe UI"/>
          <w:b/>
          <w:sz w:val="20"/>
          <w:szCs w:val="20"/>
          <w:lang w:eastAsia="en-GB"/>
        </w:rPr>
        <w:t>romotes i</w:t>
      </w:r>
      <w:r w:rsidR="002142D5" w:rsidRPr="002142D5">
        <w:rPr>
          <w:rFonts w:ascii="Segoe UI" w:eastAsia="Times New Roman" w:hAnsi="Segoe UI" w:cs="Segoe UI"/>
          <w:b/>
          <w:sz w:val="20"/>
          <w:szCs w:val="20"/>
          <w:lang w:eastAsia="en-GB"/>
        </w:rPr>
        <w:t>nclusive decision-making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 xml:space="preserve"> through </w:t>
      </w:r>
      <w:r w:rsidR="00A45855"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understanding the potential impact of decisions, </w:t>
      </w:r>
      <w:r w:rsidR="00BA5EC3">
        <w:rPr>
          <w:rFonts w:ascii="Segoe UI" w:eastAsia="Times New Roman" w:hAnsi="Segoe UI" w:cs="Segoe UI"/>
          <w:sz w:val="20"/>
          <w:szCs w:val="20"/>
          <w:lang w:eastAsia="en-GB"/>
        </w:rPr>
        <w:t xml:space="preserve">and 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>adopt</w:t>
      </w:r>
      <w:r w:rsidR="00BA5EC3">
        <w:rPr>
          <w:rFonts w:ascii="Segoe UI" w:eastAsia="Times New Roman" w:hAnsi="Segoe UI" w:cs="Segoe UI"/>
          <w:sz w:val="20"/>
          <w:szCs w:val="20"/>
          <w:lang w:eastAsia="en-GB"/>
        </w:rPr>
        <w:t>ing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 w:rsidR="00A45855"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better, more inclusive 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 xml:space="preserve">practices </w:t>
      </w:r>
      <w:r w:rsidR="00A45855" w:rsidRPr="0054718D">
        <w:rPr>
          <w:rFonts w:ascii="Segoe UI" w:eastAsia="Times New Roman" w:hAnsi="Segoe UI" w:cs="Segoe UI"/>
          <w:sz w:val="20"/>
          <w:szCs w:val="20"/>
          <w:lang w:eastAsia="en-GB"/>
        </w:rPr>
        <w:t>that reflect the diversity of its community.</w:t>
      </w:r>
    </w:p>
    <w:p w14:paraId="4E4250DB" w14:textId="77777777" w:rsidR="00A45855" w:rsidRPr="0054718D" w:rsidRDefault="00A45855" w:rsidP="00A458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>Conducting equality analysis ensures legal compliance, minimi</w:t>
      </w:r>
      <w:r w:rsidRPr="003E1371">
        <w:rPr>
          <w:rFonts w:ascii="Segoe UI" w:eastAsia="Times New Roman" w:hAnsi="Segoe UI" w:cs="Segoe UI"/>
          <w:sz w:val="20"/>
          <w:szCs w:val="20"/>
          <w:lang w:eastAsia="en-GB"/>
        </w:rPr>
        <w:t>s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>es risk of discrimination claims, and strengthens the university’s commitment to diversity and inclusion.</w:t>
      </w:r>
    </w:p>
    <w:p w14:paraId="6124AEF5" w14:textId="6BE27A1C" w:rsidR="00A45855" w:rsidRDefault="00A45855" w:rsidP="00A45855">
      <w:pPr>
        <w:pStyle w:val="Heading4"/>
        <w:rPr>
          <w:rFonts w:ascii="Segoe UI" w:eastAsia="Times New Roman" w:hAnsi="Segoe UI" w:cs="Segoe UI"/>
          <w:b/>
          <w:i w:val="0"/>
          <w:lang w:eastAsia="en-GB"/>
        </w:rPr>
      </w:pPr>
      <w:r w:rsidRPr="002142D5">
        <w:rPr>
          <w:rFonts w:ascii="Segoe UI" w:eastAsia="Times New Roman" w:hAnsi="Segoe UI" w:cs="Segoe UI"/>
          <w:b/>
          <w:i w:val="0"/>
          <w:lang w:eastAsia="en-GB"/>
        </w:rPr>
        <w:t>Benefits of Conducting Equality Analysis</w:t>
      </w:r>
    </w:p>
    <w:p w14:paraId="02AEA73D" w14:textId="5A18CB52" w:rsidR="003E1371" w:rsidRPr="003E1371" w:rsidRDefault="003E1371" w:rsidP="003E1371">
      <w:pPr>
        <w:spacing w:before="240" w:after="0"/>
        <w:rPr>
          <w:lang w:eastAsia="en-GB"/>
        </w:rPr>
      </w:pPr>
      <w:r>
        <w:rPr>
          <w:lang w:eastAsia="en-GB"/>
        </w:rPr>
        <w:t xml:space="preserve">Equality analysis: </w:t>
      </w:r>
    </w:p>
    <w:p w14:paraId="5758DF32" w14:textId="12DC73DA" w:rsidR="00A45855" w:rsidRPr="0054718D" w:rsidRDefault="003E1371" w:rsidP="003E1371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P</w:t>
      </w:r>
      <w:r w:rsidR="00A45855"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revents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u</w:t>
      </w:r>
      <w:r w:rsidR="00A45855"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nintended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d</w:t>
      </w:r>
      <w:r w:rsidR="00A45855"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iscrimination</w:t>
      </w:r>
      <w:r w:rsidR="002142D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 </w:t>
      </w:r>
      <w:r w:rsidR="002142D5" w:rsidRPr="002142D5">
        <w:rPr>
          <w:rFonts w:ascii="Segoe UI" w:eastAsia="Times New Roman" w:hAnsi="Segoe UI" w:cs="Segoe UI"/>
          <w:bCs/>
          <w:sz w:val="20"/>
          <w:szCs w:val="20"/>
          <w:lang w:eastAsia="en-GB"/>
        </w:rPr>
        <w:t>by identifying and addressing practices</w:t>
      </w:r>
      <w:r w:rsidR="002142D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 </w:t>
      </w:r>
      <w:r w:rsidR="00A45855" w:rsidRPr="0054718D">
        <w:rPr>
          <w:rFonts w:ascii="Segoe UI" w:eastAsia="Times New Roman" w:hAnsi="Segoe UI" w:cs="Segoe UI"/>
          <w:sz w:val="20"/>
          <w:szCs w:val="20"/>
          <w:lang w:eastAsia="en-GB"/>
        </w:rPr>
        <w:t>that may unintentionally disadvantage certain groups.</w:t>
      </w:r>
    </w:p>
    <w:p w14:paraId="0777541D" w14:textId="2357E269" w:rsidR="00A45855" w:rsidRPr="0054718D" w:rsidRDefault="003E1371" w:rsidP="00A458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E</w:t>
      </w:r>
      <w:r w:rsidR="00A45855"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nhances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p</w:t>
      </w:r>
      <w:r w:rsidR="00A45855"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articipation</w:t>
      </w:r>
      <w:r w:rsidR="002142D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 by improving access </w:t>
      </w:r>
      <w:r w:rsidR="00A45855" w:rsidRPr="0054718D">
        <w:rPr>
          <w:rFonts w:ascii="Segoe UI" w:eastAsia="Times New Roman" w:hAnsi="Segoe UI" w:cs="Segoe UI"/>
          <w:sz w:val="20"/>
          <w:szCs w:val="20"/>
          <w:lang w:eastAsia="en-GB"/>
        </w:rPr>
        <w:t>to university resources and services by considering the needs of all groups, fostering a more inclusive environment.</w:t>
      </w:r>
    </w:p>
    <w:p w14:paraId="07E292F0" w14:textId="3C86CC9A" w:rsidR="00A45855" w:rsidRPr="0054718D" w:rsidRDefault="003E1371" w:rsidP="00A458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I</w:t>
      </w:r>
      <w:r w:rsidR="00A45855"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mproves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o</w:t>
      </w:r>
      <w:r w:rsidR="00A45855"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utcomes</w:t>
      </w:r>
      <w:r w:rsidR="002142D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 </w:t>
      </w:r>
      <w:r w:rsidR="00A45855" w:rsidRPr="0054718D">
        <w:rPr>
          <w:rFonts w:ascii="Segoe UI" w:eastAsia="Times New Roman" w:hAnsi="Segoe UI" w:cs="Segoe UI"/>
          <w:sz w:val="20"/>
          <w:szCs w:val="20"/>
          <w:lang w:eastAsia="en-GB"/>
        </w:rPr>
        <w:t>for students and staff by ensuring diverse needs are considered in decision-making.</w:t>
      </w:r>
    </w:p>
    <w:p w14:paraId="1A2BAFB8" w14:textId="1A640C2F" w:rsidR="00A45855" w:rsidRPr="0054718D" w:rsidRDefault="00A45855" w:rsidP="00A458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Supports University </w:t>
      </w:r>
      <w:r w:rsidR="003E1371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g</w:t>
      </w:r>
      <w:r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oals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 xml:space="preserve"> by aligning with 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>strategic objectives related to equality, diversity, and inclusion, enhancing the university’s reputation as an equitable institution.</w:t>
      </w:r>
    </w:p>
    <w:p w14:paraId="58200667" w14:textId="77777777" w:rsidR="00BA5EC3" w:rsidRPr="002142D5" w:rsidRDefault="00BA5EC3" w:rsidP="00BA5EC3">
      <w:pPr>
        <w:pStyle w:val="Heading4"/>
        <w:rPr>
          <w:rFonts w:ascii="Segoe UI" w:eastAsia="Times New Roman" w:hAnsi="Segoe UI" w:cs="Segoe UI"/>
          <w:b/>
          <w:i w:val="0"/>
          <w:lang w:eastAsia="en-GB"/>
        </w:rPr>
      </w:pPr>
      <w:r w:rsidRPr="002142D5">
        <w:rPr>
          <w:rFonts w:ascii="Segoe UI" w:eastAsia="Times New Roman" w:hAnsi="Segoe UI" w:cs="Segoe UI"/>
          <w:b/>
          <w:i w:val="0"/>
          <w:lang w:eastAsia="en-GB"/>
        </w:rPr>
        <w:t>The Role of Equality Screening Tools and Equality Impact Assessments (EIA)</w:t>
      </w:r>
    </w:p>
    <w:p w14:paraId="5FA294DA" w14:textId="0EB14FB3" w:rsidR="00BA5EC3" w:rsidRDefault="00BA5EC3" w:rsidP="00BA5EC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An </w:t>
      </w:r>
      <w:r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Equality Screening Tool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 is a preliminary assessment used to identify if a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practice 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is likely to have an impact on equality. It helps decide whether a more detailed </w:t>
      </w:r>
      <w:r w:rsidRPr="0054718D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Equality Impact Assessment (EIA)</w:t>
      </w:r>
      <w:r w:rsidRPr="0054718D">
        <w:rPr>
          <w:rFonts w:ascii="Segoe UI" w:eastAsia="Times New Roman" w:hAnsi="Segoe UI" w:cs="Segoe UI"/>
          <w:sz w:val="20"/>
          <w:szCs w:val="20"/>
          <w:lang w:eastAsia="en-GB"/>
        </w:rPr>
        <w:t xml:space="preserve"> is needed. If impacts are identified, a full EIA is conducted to examine how the decision may affect different groups and what adjustments can be made to mitigate any negative impacts.</w:t>
      </w:r>
      <w:r w:rsidR="00EF5203">
        <w:rPr>
          <w:rFonts w:ascii="Segoe UI" w:eastAsia="Times New Roman" w:hAnsi="Segoe UI" w:cs="Segoe UI"/>
          <w:sz w:val="20"/>
          <w:szCs w:val="20"/>
          <w:lang w:eastAsia="en-GB"/>
        </w:rPr>
        <w:t xml:space="preserve"> The </w:t>
      </w:r>
      <w:r w:rsidR="00CB082B">
        <w:rPr>
          <w:rFonts w:ascii="Segoe UI" w:eastAsia="Times New Roman" w:hAnsi="Segoe UI" w:cs="Segoe UI"/>
          <w:sz w:val="20"/>
          <w:szCs w:val="20"/>
          <w:lang w:eastAsia="en-GB"/>
        </w:rPr>
        <w:t xml:space="preserve">primary purpose </w:t>
      </w:r>
      <w:r w:rsidR="00EF5203">
        <w:rPr>
          <w:rFonts w:ascii="Segoe UI" w:eastAsia="Times New Roman" w:hAnsi="Segoe UI" w:cs="Segoe UI"/>
          <w:sz w:val="20"/>
          <w:szCs w:val="20"/>
          <w:lang w:eastAsia="en-GB"/>
        </w:rPr>
        <w:t xml:space="preserve">of equality analysis is </w:t>
      </w:r>
      <w:r w:rsidR="00CB082B">
        <w:rPr>
          <w:rFonts w:ascii="Segoe UI" w:eastAsia="Times New Roman" w:hAnsi="Segoe UI" w:cs="Segoe UI"/>
          <w:sz w:val="20"/>
          <w:szCs w:val="20"/>
          <w:lang w:eastAsia="en-GB"/>
        </w:rPr>
        <w:t>to prevent or eliminate discrimination,</w:t>
      </w:r>
      <w:r w:rsidR="00EF5203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 w:rsidR="004D1073">
        <w:rPr>
          <w:rFonts w:ascii="Segoe UI" w:eastAsia="Times New Roman" w:hAnsi="Segoe UI" w:cs="Segoe UI"/>
          <w:sz w:val="20"/>
          <w:szCs w:val="20"/>
          <w:lang w:eastAsia="en-GB"/>
        </w:rPr>
        <w:t>S</w:t>
      </w:r>
      <w:r w:rsidR="00EF5203">
        <w:rPr>
          <w:rFonts w:ascii="Segoe UI" w:eastAsia="Times New Roman" w:hAnsi="Segoe UI" w:cs="Segoe UI"/>
          <w:sz w:val="20"/>
          <w:szCs w:val="20"/>
          <w:lang w:eastAsia="en-GB"/>
        </w:rPr>
        <w:t>creening and/or EIA</w:t>
      </w:r>
      <w:r w:rsidR="0052608B">
        <w:rPr>
          <w:rFonts w:ascii="Segoe UI" w:eastAsia="Times New Roman" w:hAnsi="Segoe UI" w:cs="Segoe UI"/>
          <w:sz w:val="20"/>
          <w:szCs w:val="20"/>
          <w:lang w:eastAsia="en-GB"/>
        </w:rPr>
        <w:t>.</w:t>
      </w:r>
      <w:r w:rsidR="00EF5203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 w:rsidR="0052608B" w:rsidRPr="0052608B">
        <w:rPr>
          <w:rFonts w:ascii="Segoe UI" w:hAnsi="Segoe UI" w:cs="Segoe UI"/>
          <w:sz w:val="20"/>
          <w:lang w:eastAsia="en-GB"/>
        </w:rPr>
        <w:t xml:space="preserve">It should happen before decisions are made and implemented </w:t>
      </w:r>
      <w:r w:rsidR="0052608B" w:rsidRPr="0052608B">
        <w:rPr>
          <w:rFonts w:ascii="Segoe UI" w:hAnsi="Segoe UI" w:cs="Segoe UI"/>
          <w:i/>
          <w:sz w:val="20"/>
          <w:lang w:eastAsia="en-GB"/>
        </w:rPr>
        <w:t xml:space="preserve">in order to </w:t>
      </w:r>
      <w:r w:rsidR="0052608B" w:rsidRPr="0052608B">
        <w:rPr>
          <w:rFonts w:ascii="Segoe UI" w:hAnsi="Segoe UI" w:cs="Segoe UI"/>
          <w:sz w:val="20"/>
          <w:lang w:eastAsia="en-GB"/>
        </w:rPr>
        <w:t xml:space="preserve">inform decision-making. It should not </w:t>
      </w:r>
      <w:r w:rsidR="0052608B" w:rsidRPr="0052608B">
        <w:rPr>
          <w:rFonts w:ascii="Segoe UI" w:hAnsi="Segoe UI" w:cs="Segoe UI"/>
          <w:sz w:val="20"/>
          <w:lang w:eastAsia="en-GB"/>
        </w:rPr>
        <w:lastRenderedPageBreak/>
        <w:t>be retrospective or undertaken near the end of a process.</w:t>
      </w:r>
      <w:r w:rsidR="00EF5203" w:rsidRPr="0052608B">
        <w:rPr>
          <w:rFonts w:ascii="Segoe UI" w:eastAsia="Times New Roman" w:hAnsi="Segoe UI" w:cs="Segoe UI"/>
          <w:sz w:val="18"/>
          <w:szCs w:val="20"/>
          <w:lang w:eastAsia="en-GB"/>
        </w:rPr>
        <w:t xml:space="preserve"> </w:t>
      </w:r>
      <w:r w:rsidR="00EF5203">
        <w:rPr>
          <w:rFonts w:ascii="Segoe UI" w:eastAsia="Times New Roman" w:hAnsi="Segoe UI" w:cs="Segoe UI"/>
          <w:sz w:val="20"/>
          <w:szCs w:val="20"/>
          <w:lang w:eastAsia="en-GB"/>
        </w:rPr>
        <w:t xml:space="preserve">Equality analysis should not be carried out retrospectively.    </w:t>
      </w:r>
    </w:p>
    <w:p w14:paraId="55359B91" w14:textId="73AEDB56" w:rsidR="008E5079" w:rsidRPr="008E5079" w:rsidRDefault="00A45855" w:rsidP="000B2965">
      <w:pPr>
        <w:pStyle w:val="Heading4"/>
        <w:shd w:val="clear" w:color="auto" w:fill="002060"/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</w:pPr>
      <w:r w:rsidRPr="000B2965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 xml:space="preserve">Quick Guide </w:t>
      </w:r>
      <w:r w:rsidR="00BA5EC3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 xml:space="preserve">- </w:t>
      </w:r>
      <w:r w:rsidR="008E5079" w:rsidRPr="000B2965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>Conducting Equality</w:t>
      </w:r>
      <w:r w:rsidRPr="000B2965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 xml:space="preserve"> Impact Assessments</w:t>
      </w:r>
      <w:r w:rsidR="008E5079" w:rsidRPr="000B2965">
        <w:rPr>
          <w:rFonts w:ascii="Segoe UI" w:eastAsia="Times New Roman" w:hAnsi="Segoe UI" w:cs="Segoe UI"/>
          <w:b/>
          <w:i w:val="0"/>
          <w:color w:val="FFFFFF" w:themeColor="background1"/>
          <w:lang w:eastAsia="en-GB"/>
        </w:rPr>
        <w:t xml:space="preserve"> </w:t>
      </w:r>
    </w:p>
    <w:p w14:paraId="049DE58B" w14:textId="77777777" w:rsidR="00FC7235" w:rsidRDefault="00FC7235" w:rsidP="00FC7235">
      <w:pPr>
        <w:spacing w:after="0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</w:p>
    <w:p w14:paraId="387BAD22" w14:textId="77777777" w:rsidR="00FC7235" w:rsidRPr="00FC7235" w:rsidRDefault="00FC7235" w:rsidP="00FC7235">
      <w:pPr>
        <w:spacing w:after="0"/>
        <w:rPr>
          <w:bCs/>
        </w:rPr>
      </w:pPr>
      <w:r w:rsidRPr="00FC7235">
        <w:rPr>
          <w:rFonts w:ascii="Segoe UI" w:eastAsia="Times New Roman" w:hAnsi="Segoe UI" w:cs="Segoe UI"/>
          <w:bCs/>
          <w:sz w:val="20"/>
          <w:szCs w:val="20"/>
          <w:lang w:eastAsia="en-GB"/>
        </w:rPr>
        <w:t>For in-depth guidance on completing an Equality Impact Assessment see here:</w:t>
      </w:r>
      <w:r w:rsidRPr="00FC723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 </w:t>
      </w:r>
      <w:hyperlink r:id="rId10" w:history="1">
        <w:r w:rsidRPr="00FC7235">
          <w:rPr>
            <w:rStyle w:val="Hyperlink"/>
            <w:bCs/>
          </w:rPr>
          <w:t>Equality Impact Assessment Template with Guidance | Equality and Diversity Unit (ox.ac.uk)</w:t>
        </w:r>
      </w:hyperlink>
    </w:p>
    <w:p w14:paraId="7BADCE8F" w14:textId="77777777" w:rsidR="008E5079" w:rsidRPr="008E5079" w:rsidRDefault="00FC7235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S</w:t>
      </w:r>
      <w:r w:rsidR="008E5079"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tep 1: Identify the </w:t>
      </w:r>
      <w:r w:rsid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overarching practice </w:t>
      </w:r>
      <w:r w:rsidR="008E5079"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Start by identifying the policy, practice, or decision </w:t>
      </w:r>
      <w:r w:rsidR="00A45855">
        <w:rPr>
          <w:rFonts w:ascii="Segoe UI" w:eastAsia="Times New Roman" w:hAnsi="Segoe UI" w:cs="Segoe UI"/>
          <w:sz w:val="20"/>
          <w:szCs w:val="20"/>
          <w:lang w:eastAsia="en-GB"/>
        </w:rPr>
        <w:t xml:space="preserve">(the ‘practice’) </w:t>
      </w:r>
      <w:r w:rsidR="008E5079" w:rsidRPr="008E5079">
        <w:rPr>
          <w:rFonts w:ascii="Segoe UI" w:eastAsia="Times New Roman" w:hAnsi="Segoe UI" w:cs="Segoe UI"/>
          <w:sz w:val="20"/>
          <w:szCs w:val="20"/>
          <w:lang w:eastAsia="en-GB"/>
        </w:rPr>
        <w:t>you are assessing. This could be a new policy, a procedure change, or an existing program. Ensure that all areas of impact—students, staff, and the wider university community—are considered.</w:t>
      </w:r>
    </w:p>
    <w:p w14:paraId="55DA42A7" w14:textId="77777777" w:rsidR="008E5079" w:rsidRPr="008E5079" w:rsidRDefault="008E5079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Step 2: Determine the Need for Equality Analysis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Use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the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Equality Screening Tool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to quickly assess whether a full Equality Impact Assessment (EIA) is required. This involves a basic review to determine if the policy might affect individuals with protected characteristics (</w:t>
      </w:r>
      <w:proofErr w:type="spellStart"/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e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g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n-GB"/>
        </w:rPr>
        <w:t>,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age, disability,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gender reassignment, marriage/civil partnership, pregnancy/maternity, 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race,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religion or belief, sex, sexual orientation,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) or other relevant groups (e.g., part-time staff, parents, carers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, socio-economic background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).</w:t>
      </w:r>
    </w:p>
    <w:p w14:paraId="313BE081" w14:textId="564DA4E1" w:rsidR="008E5079" w:rsidRPr="008E5079" w:rsidRDefault="008E5079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If no impacts are found, the screening can conclude the process. If there are potential impacts, move to the full EIA.</w:t>
      </w:r>
    </w:p>
    <w:p w14:paraId="6120748D" w14:textId="239F3C63" w:rsidR="008E5079" w:rsidRPr="008E5079" w:rsidRDefault="008E5079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Step 3: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The background to the practice, d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ata and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e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vidence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 w:rsidR="00A11DD8">
        <w:rPr>
          <w:rFonts w:ascii="Segoe UI" w:eastAsia="Times New Roman" w:hAnsi="Segoe UI" w:cs="Segoe UI"/>
          <w:sz w:val="20"/>
          <w:szCs w:val="20"/>
          <w:lang w:eastAsia="en-GB"/>
        </w:rPr>
        <w:t>Briefly describe the background to the proposed or revised practice, c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ollect relevant data and evidence to understand how different groups are affected</w:t>
      </w:r>
      <w:r w:rsidR="00A11DD8">
        <w:rPr>
          <w:rFonts w:ascii="Segoe UI" w:eastAsia="Times New Roman" w:hAnsi="Segoe UI" w:cs="Segoe UI"/>
          <w:sz w:val="20"/>
          <w:szCs w:val="20"/>
          <w:lang w:eastAsia="en-GB"/>
        </w:rPr>
        <w:t xml:space="preserve"> by the practice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. This can include:</w:t>
      </w:r>
    </w:p>
    <w:p w14:paraId="35242E33" w14:textId="77777777" w:rsidR="008E5079" w:rsidRPr="008E5079" w:rsidRDefault="008E5079" w:rsidP="008E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Demographic data on staff and students.</w:t>
      </w:r>
    </w:p>
    <w:p w14:paraId="480D205C" w14:textId="77777777" w:rsidR="008E5079" w:rsidRPr="008E5079" w:rsidRDefault="008E5079" w:rsidP="008E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Feedback from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relevant 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stakeholders, such as consultations, surveys, or focus groups.</w:t>
      </w:r>
    </w:p>
    <w:p w14:paraId="3A9F4E5A" w14:textId="77777777" w:rsidR="008E5079" w:rsidRDefault="008E5079" w:rsidP="008E5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Research on similar policies or decisions in other institutions.</w:t>
      </w:r>
    </w:p>
    <w:tbl>
      <w:tblPr>
        <w:tblW w:w="8644" w:type="dxa"/>
        <w:tblLook w:val="04A0" w:firstRow="1" w:lastRow="0" w:firstColumn="1" w:lastColumn="0" w:noHBand="0" w:noVBand="1"/>
      </w:tblPr>
      <w:tblGrid>
        <w:gridCol w:w="1817"/>
        <w:gridCol w:w="2893"/>
        <w:gridCol w:w="3934"/>
      </w:tblGrid>
      <w:tr w:rsidR="006A53FE" w:rsidRPr="006A53FE" w14:paraId="3746B002" w14:textId="77777777" w:rsidTr="006A53FE">
        <w:trPr>
          <w:trHeight w:val="19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8D9FE0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  <w:t>Very high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3B0B4C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  <w:t xml:space="preserve">Requires extensive analysis due to the highest likelihood of impact on equality 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2D41EB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  <w:t xml:space="preserve">Strategic planning, allocation of significant financial or other resources, major organisational changes, construction or renovation projects, changes to conduct and disciplinary policies, health and safety, people-related strategies, EDI-related strategies or initiatives targeting under-representation </w:t>
            </w:r>
          </w:p>
        </w:tc>
      </w:tr>
      <w:tr w:rsidR="006A53FE" w:rsidRPr="006A53FE" w14:paraId="41F473A4" w14:textId="77777777" w:rsidTr="006A53FE">
        <w:trPr>
          <w:trHeight w:val="71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DB1C30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  <w:t>High to very high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D520A6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  <w:t>Requires a thorough analysis to ensure impact on equality is fully assessed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525786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FFFFFF"/>
                <w:sz w:val="20"/>
                <w:lang w:eastAsia="en-GB"/>
              </w:rPr>
              <w:t xml:space="preserve">Admissions policies, staff recruitment, development and promotion policies, major curriculum changes </w:t>
            </w:r>
          </w:p>
        </w:tc>
      </w:tr>
      <w:tr w:rsidR="006A53FE" w:rsidRPr="006A53FE" w14:paraId="37F76F89" w14:textId="77777777" w:rsidTr="006A53FE">
        <w:trPr>
          <w:trHeight w:val="71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A052AC0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>Moderate to High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45EF3B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 xml:space="preserve">Requires a balanced level of analysis, reflecting a moderate-high impact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CF757FD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 xml:space="preserve">Minor curriculum changes, new or changed staff or student services, policy updates or revisions </w:t>
            </w:r>
          </w:p>
        </w:tc>
      </w:tr>
      <w:tr w:rsidR="006A53FE" w:rsidRPr="006A53FE" w14:paraId="6070AC4E" w14:textId="77777777" w:rsidTr="00BA5EC3">
        <w:trPr>
          <w:trHeight w:val="956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7EA088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>Low to moderate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E13901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 xml:space="preserve">Requires a level of analysis sufficient to demonstrate that equality analysis has been carried out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54ACAA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>Routine communications, facilities maintenance, procurement processes, administrative tasks, events planning</w:t>
            </w:r>
          </w:p>
        </w:tc>
      </w:tr>
      <w:tr w:rsidR="006A53FE" w:rsidRPr="006A53FE" w14:paraId="25A81AD0" w14:textId="77777777" w:rsidTr="00BA5EC3">
        <w:trPr>
          <w:trHeight w:val="71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F2A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>None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E80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>PSED does not apply, equality analysis is not required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217" w14:textId="77777777" w:rsidR="006A53FE" w:rsidRPr="006A53FE" w:rsidRDefault="006A53FE" w:rsidP="006A53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</w:pP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t xml:space="preserve">Activities which do not have the potential for bias or discrimination to affect the </w:t>
            </w:r>
            <w:r w:rsidRPr="006A53FE">
              <w:rPr>
                <w:rFonts w:ascii="Segoe UI" w:eastAsia="Times New Roman" w:hAnsi="Segoe UI" w:cs="Segoe UI"/>
                <w:color w:val="000000"/>
                <w:sz w:val="20"/>
                <w:lang w:eastAsia="en-GB"/>
              </w:rPr>
              <w:lastRenderedPageBreak/>
              <w:t xml:space="preserve">development or implementation of practices </w:t>
            </w:r>
          </w:p>
        </w:tc>
      </w:tr>
    </w:tbl>
    <w:p w14:paraId="3D1968B7" w14:textId="77777777" w:rsidR="00FC7235" w:rsidRPr="008E5079" w:rsidRDefault="00FC7235" w:rsidP="00FC723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14:paraId="12D31571" w14:textId="77777777" w:rsidR="008E5079" w:rsidRDefault="008E5079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Step 4: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Who will be affected?  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Ensure that all areas of impact—students, staff, and the wider university community—are considered.</w:t>
      </w:r>
    </w:p>
    <w:p w14:paraId="46EA452D" w14:textId="5F4EA46D" w:rsidR="008E5079" w:rsidRPr="008E5079" w:rsidRDefault="008E5079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Step 5 &amp; 6: 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Assess the Impact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Analy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e how the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practice 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will impact different groups. Consider both 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positive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and 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negative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impacts for each group. Ask:</w:t>
      </w:r>
    </w:p>
    <w:p w14:paraId="246CA0DF" w14:textId="47C5C793" w:rsidR="008E5079" w:rsidRDefault="008E5079" w:rsidP="008E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Will the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practice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eliminate discrimination, advance equality of opportunity </w:t>
      </w:r>
      <w:r w:rsidR="002142D5">
        <w:rPr>
          <w:rFonts w:ascii="Segoe UI" w:eastAsia="Times New Roman" w:hAnsi="Segoe UI" w:cs="Segoe UI"/>
          <w:sz w:val="20"/>
          <w:szCs w:val="20"/>
          <w:lang w:eastAsia="en-GB"/>
        </w:rPr>
        <w:t xml:space="preserve">and/or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foster good relations</w:t>
      </w:r>
      <w:r w:rsidR="003E1371">
        <w:rPr>
          <w:rFonts w:ascii="Segoe UI" w:eastAsia="Times New Roman" w:hAnsi="Segoe UI" w:cs="Segoe UI"/>
          <w:sz w:val="20"/>
          <w:szCs w:val="20"/>
          <w:lang w:eastAsia="en-GB"/>
        </w:rPr>
        <w:t xml:space="preserve"> for any group? </w:t>
      </w:r>
    </w:p>
    <w:p w14:paraId="76645676" w14:textId="77777777" w:rsidR="008E5079" w:rsidRPr="008E5079" w:rsidRDefault="008E5079" w:rsidP="008E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Will the practice disadvantage any group? </w:t>
      </w:r>
    </w:p>
    <w:p w14:paraId="0255E9B4" w14:textId="77777777" w:rsidR="008E5079" w:rsidRPr="008E5079" w:rsidRDefault="008E5079" w:rsidP="008E5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Could any unintentional barriers be created?</w:t>
      </w:r>
    </w:p>
    <w:p w14:paraId="34F3432E" w14:textId="77777777" w:rsidR="008E5079" w:rsidRPr="008E5079" w:rsidRDefault="008E5079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Step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7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: Identify and Address Negative Impacts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If negative impacts are identified, consider ways to mitigate or eliminate them:</w:t>
      </w:r>
    </w:p>
    <w:p w14:paraId="73651CAB" w14:textId="77777777" w:rsidR="008E5079" w:rsidRPr="008E5079" w:rsidRDefault="008E5079" w:rsidP="008E5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Adjust the Policy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: Modify aspects of the policy to reduce or remove barriers.</w:t>
      </w:r>
    </w:p>
    <w:p w14:paraId="0909BE9D" w14:textId="77777777" w:rsidR="008E5079" w:rsidRPr="008E5079" w:rsidRDefault="008E5079" w:rsidP="008E5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Provide Support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: Offer additional support or accommodations to affected groups.</w:t>
      </w:r>
    </w:p>
    <w:p w14:paraId="55E2557D" w14:textId="77777777" w:rsidR="008E5079" w:rsidRPr="008E5079" w:rsidRDefault="008E5079" w:rsidP="008E5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Develop Alternative Approaches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: Explore other ways to achieve the same goals while minimi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ing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 negative effects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.</w:t>
      </w:r>
    </w:p>
    <w:p w14:paraId="316F8EEF" w14:textId="1204123F" w:rsidR="008E5079" w:rsidRPr="008E5079" w:rsidRDefault="008E5079" w:rsidP="003216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sz w:val="20"/>
          <w:szCs w:val="20"/>
          <w:lang w:eastAsia="en-GB"/>
        </w:rPr>
        <w:t xml:space="preserve">Summarise findings, 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outlin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ing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actions to address identified </w:t>
      </w:r>
      <w:r>
        <w:rPr>
          <w:rFonts w:ascii="Segoe UI" w:eastAsia="Times New Roman" w:hAnsi="Segoe UI" w:cs="Segoe UI"/>
          <w:sz w:val="20"/>
          <w:szCs w:val="20"/>
          <w:lang w:eastAsia="en-GB"/>
        </w:rPr>
        <w:t>negative impacts</w:t>
      </w:r>
      <w:r w:rsidR="00321688">
        <w:rPr>
          <w:rFonts w:ascii="Segoe UI" w:eastAsia="Times New Roman" w:hAnsi="Segoe UI" w:cs="Segoe UI"/>
          <w:sz w:val="20"/>
          <w:szCs w:val="20"/>
          <w:lang w:eastAsia="en-GB"/>
        </w:rPr>
        <w:t xml:space="preserve">. </w:t>
      </w:r>
    </w:p>
    <w:p w14:paraId="1FCB3DF8" w14:textId="77777777" w:rsidR="00A45855" w:rsidRPr="00A45855" w:rsidRDefault="008E5079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Step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8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: </w:t>
      </w:r>
      <w:r w:rsidR="00A4585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Monitoring arrangements</w:t>
      </w:r>
      <w:r w:rsidR="00FC723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: </w:t>
      </w:r>
      <w:r w:rsidR="00A45855">
        <w:rPr>
          <w:rFonts w:ascii="Segoe UI" w:eastAsia="Times New Roman" w:hAnsi="Segoe UI" w:cs="Segoe UI"/>
          <w:bCs/>
          <w:sz w:val="20"/>
          <w:szCs w:val="20"/>
          <w:lang w:eastAsia="en-GB"/>
        </w:rPr>
        <w:t xml:space="preserve">Determine how the development and implementation of the practice will be monitored and reported on, how regularly, by whom.  </w:t>
      </w:r>
    </w:p>
    <w:p w14:paraId="216CBADE" w14:textId="25BB39AE" w:rsidR="00DB6325" w:rsidRDefault="008E5079" w:rsidP="00DB632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Step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9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: Implement and </w:t>
      </w:r>
      <w:r w:rsidR="00A4585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Review 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After implementing the </w:t>
      </w:r>
      <w:r w:rsidR="00A45855">
        <w:rPr>
          <w:rFonts w:ascii="Segoe UI" w:eastAsia="Times New Roman" w:hAnsi="Segoe UI" w:cs="Segoe UI"/>
          <w:sz w:val="20"/>
          <w:szCs w:val="20"/>
          <w:lang w:eastAsia="en-GB"/>
        </w:rPr>
        <w:t>practice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, </w:t>
      </w:r>
      <w:r w:rsidR="00A45855">
        <w:rPr>
          <w:rFonts w:ascii="Segoe UI" w:eastAsia="Times New Roman" w:hAnsi="Segoe UI" w:cs="Segoe UI"/>
          <w:sz w:val="20"/>
          <w:szCs w:val="20"/>
          <w:lang w:eastAsia="en-GB"/>
        </w:rPr>
        <w:t xml:space="preserve">monitor and review 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its impact to ensure it remains fair and inclusive. Collect ongoing feedback from affected groups and adjust the </w:t>
      </w:r>
      <w:r w:rsidR="00A45855">
        <w:rPr>
          <w:rFonts w:ascii="Segoe UI" w:eastAsia="Times New Roman" w:hAnsi="Segoe UI" w:cs="Segoe UI"/>
          <w:sz w:val="20"/>
          <w:szCs w:val="20"/>
          <w:lang w:eastAsia="en-GB"/>
        </w:rPr>
        <w:t>practice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 as needed</w:t>
      </w:r>
      <w:r w:rsidR="00DB6325">
        <w:rPr>
          <w:rFonts w:ascii="Segoe UI" w:eastAsia="Times New Roman" w:hAnsi="Segoe UI" w:cs="Segoe UI"/>
          <w:sz w:val="20"/>
          <w:szCs w:val="20"/>
          <w:lang w:eastAsia="en-GB"/>
        </w:rPr>
        <w:t xml:space="preserve">, the following monitoring tools may be helpful: </w:t>
      </w:r>
    </w:p>
    <w:p w14:paraId="0D0D07A0" w14:textId="40F56692" w:rsidR="008E5079" w:rsidRPr="008E5079" w:rsidRDefault="008E5079" w:rsidP="008E50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Periodic surveys or focus groups</w:t>
      </w:r>
    </w:p>
    <w:p w14:paraId="47EA3634" w14:textId="58D94E5A" w:rsidR="008E5079" w:rsidRPr="008E5079" w:rsidRDefault="008E5079" w:rsidP="008E50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Data analysis on outcomes or usage of services</w:t>
      </w:r>
    </w:p>
    <w:p w14:paraId="7F2E41C1" w14:textId="239FB527" w:rsidR="008E5079" w:rsidRPr="008E5079" w:rsidRDefault="008E5079" w:rsidP="008E50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Regular policy reviews</w:t>
      </w:r>
    </w:p>
    <w:p w14:paraId="2C9D734A" w14:textId="77777777" w:rsidR="00A45855" w:rsidRPr="00A45855" w:rsidRDefault="00A45855" w:rsidP="00A45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Step </w:t>
      </w:r>
      <w:r w:rsidR="00FC723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10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: </w:t>
      </w:r>
      <w:r w:rsidRPr="00A4585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Review and Sign Off</w:t>
      </w:r>
      <w:r w:rsidRPr="00A45855">
        <w:rPr>
          <w:rFonts w:ascii="Segoe UI" w:eastAsia="Times New Roman" w:hAnsi="Segoe UI" w:cs="Segoe UI"/>
          <w:sz w:val="20"/>
          <w:szCs w:val="20"/>
          <w:lang w:eastAsia="en-GB"/>
        </w:rPr>
        <w:t xml:space="preserve"> Ensure the equality analysis is reviewed and approved by relevant stakeholders or decision-makers. </w:t>
      </w:r>
    </w:p>
    <w:p w14:paraId="2F5CA032" w14:textId="77777777" w:rsidR="008E5079" w:rsidRPr="008E5079" w:rsidRDefault="00A45855" w:rsidP="008E50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Step 1</w:t>
      </w:r>
      <w:r w:rsidR="00FC7235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1</w:t>
      </w: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: Documentation </w:t>
      </w:r>
      <w:r w:rsidR="008E5079" w:rsidRPr="008E5079">
        <w:rPr>
          <w:rFonts w:ascii="Segoe UI" w:eastAsia="Times New Roman" w:hAnsi="Segoe UI" w:cs="Segoe UI"/>
          <w:sz w:val="20"/>
          <w:szCs w:val="20"/>
          <w:lang w:eastAsia="en-GB"/>
        </w:rPr>
        <w:t xml:space="preserve">Document the entire process, including the data used, the impacts identified, and the actions taken to address them. </w:t>
      </w:r>
      <w:r w:rsidR="00FC7235">
        <w:rPr>
          <w:rFonts w:ascii="Segoe UI" w:eastAsia="Times New Roman" w:hAnsi="Segoe UI" w:cs="Segoe UI"/>
          <w:sz w:val="20"/>
          <w:szCs w:val="20"/>
          <w:lang w:eastAsia="en-GB"/>
        </w:rPr>
        <w:t xml:space="preserve">Update records as practices develop or if unintended impacts arise.  </w:t>
      </w:r>
      <w:r w:rsidR="008E5079" w:rsidRPr="008E5079">
        <w:rPr>
          <w:rFonts w:ascii="Segoe UI" w:eastAsia="Times New Roman" w:hAnsi="Segoe UI" w:cs="Segoe UI"/>
          <w:sz w:val="20"/>
          <w:szCs w:val="20"/>
          <w:lang w:eastAsia="en-GB"/>
        </w:rPr>
        <w:t>Keep records to demonstrate compliance with equality legislation and institutional commitments to diversity and inclusion.</w:t>
      </w:r>
    </w:p>
    <w:p w14:paraId="4065FA8C" w14:textId="482C6E47" w:rsidR="008E5079" w:rsidRPr="008E5079" w:rsidRDefault="008E5079" w:rsidP="008E50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Best Practice for Effective Equality Analysis</w:t>
      </w:r>
    </w:p>
    <w:p w14:paraId="234991DF" w14:textId="7E4D8568" w:rsidR="008E5079" w:rsidRPr="008E5079" w:rsidRDefault="008E5079" w:rsidP="008E50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Involve </w:t>
      </w:r>
      <w:r w:rsidR="00BC782E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s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takeholders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: Engage with those affected to get direct feedback on potential impacts.</w:t>
      </w:r>
    </w:p>
    <w:p w14:paraId="586DD6A7" w14:textId="3C2818CA" w:rsidR="008E5079" w:rsidRPr="008E5079" w:rsidRDefault="008E5079" w:rsidP="008E50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Focus on </w:t>
      </w:r>
      <w:r w:rsidR="00BC782E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p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roportionality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: Match the depth of analysis to the significance of the policy’s impact—more complex policies require more thorough analysis.</w:t>
      </w:r>
    </w:p>
    <w:p w14:paraId="56BD8B41" w14:textId="19E081AC" w:rsidR="00000000" w:rsidRPr="00321688" w:rsidRDefault="008E5079" w:rsidP="003216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lastRenderedPageBreak/>
        <w:t xml:space="preserve">Regular </w:t>
      </w:r>
      <w:r w:rsidR="00BC782E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r</w:t>
      </w:r>
      <w:r w:rsidRPr="008E5079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eviews</w:t>
      </w:r>
      <w:r w:rsidRPr="008E5079">
        <w:rPr>
          <w:rFonts w:ascii="Segoe UI" w:eastAsia="Times New Roman" w:hAnsi="Segoe UI" w:cs="Segoe UI"/>
          <w:sz w:val="20"/>
          <w:szCs w:val="20"/>
          <w:lang w:eastAsia="en-GB"/>
        </w:rPr>
        <w:t>: Even after implementation, regularly review and update the equality analysis to address any emerging issues.</w:t>
      </w:r>
    </w:p>
    <w:sectPr w:rsidR="00916DAE" w:rsidRPr="00321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545"/>
    <w:multiLevelType w:val="hybridMultilevel"/>
    <w:tmpl w:val="C69E23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DF0"/>
    <w:multiLevelType w:val="multilevel"/>
    <w:tmpl w:val="12AC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37D"/>
    <w:multiLevelType w:val="multilevel"/>
    <w:tmpl w:val="E9B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27E93"/>
    <w:multiLevelType w:val="multilevel"/>
    <w:tmpl w:val="49B0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F3696"/>
    <w:multiLevelType w:val="multilevel"/>
    <w:tmpl w:val="9F5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A6A8F"/>
    <w:multiLevelType w:val="multilevel"/>
    <w:tmpl w:val="649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D5A58"/>
    <w:multiLevelType w:val="multilevel"/>
    <w:tmpl w:val="4F3C3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A5498"/>
    <w:multiLevelType w:val="multilevel"/>
    <w:tmpl w:val="3F4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E07FD"/>
    <w:multiLevelType w:val="multilevel"/>
    <w:tmpl w:val="6EB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E3E7B"/>
    <w:multiLevelType w:val="multilevel"/>
    <w:tmpl w:val="8752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54583098">
    <w:abstractNumId w:val="5"/>
  </w:num>
  <w:num w:numId="2" w16cid:durableId="1717122481">
    <w:abstractNumId w:val="3"/>
  </w:num>
  <w:num w:numId="3" w16cid:durableId="1621643267">
    <w:abstractNumId w:val="2"/>
  </w:num>
  <w:num w:numId="4" w16cid:durableId="1690179894">
    <w:abstractNumId w:val="4"/>
  </w:num>
  <w:num w:numId="5" w16cid:durableId="2134975675">
    <w:abstractNumId w:val="7"/>
  </w:num>
  <w:num w:numId="6" w16cid:durableId="2072540873">
    <w:abstractNumId w:val="1"/>
  </w:num>
  <w:num w:numId="7" w16cid:durableId="136532125">
    <w:abstractNumId w:val="8"/>
  </w:num>
  <w:num w:numId="8" w16cid:durableId="1365866318">
    <w:abstractNumId w:val="6"/>
  </w:num>
  <w:num w:numId="9" w16cid:durableId="1010596066">
    <w:abstractNumId w:val="9"/>
  </w:num>
  <w:num w:numId="10" w16cid:durableId="4612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79"/>
    <w:rsid w:val="000B2965"/>
    <w:rsid w:val="002075E6"/>
    <w:rsid w:val="002142D5"/>
    <w:rsid w:val="002C18BF"/>
    <w:rsid w:val="00321688"/>
    <w:rsid w:val="003E1371"/>
    <w:rsid w:val="00413739"/>
    <w:rsid w:val="004D1073"/>
    <w:rsid w:val="0052608B"/>
    <w:rsid w:val="00597F83"/>
    <w:rsid w:val="006A53FE"/>
    <w:rsid w:val="006C38AB"/>
    <w:rsid w:val="007B77F8"/>
    <w:rsid w:val="00814E8E"/>
    <w:rsid w:val="008556AD"/>
    <w:rsid w:val="00870DC2"/>
    <w:rsid w:val="008A7C5B"/>
    <w:rsid w:val="008E5079"/>
    <w:rsid w:val="00A11DD8"/>
    <w:rsid w:val="00A1391F"/>
    <w:rsid w:val="00A45855"/>
    <w:rsid w:val="00B53661"/>
    <w:rsid w:val="00BA5EC3"/>
    <w:rsid w:val="00BC0588"/>
    <w:rsid w:val="00BC782E"/>
    <w:rsid w:val="00C550CD"/>
    <w:rsid w:val="00CB082B"/>
    <w:rsid w:val="00D03C6F"/>
    <w:rsid w:val="00DB6325"/>
    <w:rsid w:val="00EF5203"/>
    <w:rsid w:val="00FC7235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8C43"/>
  <w15:chartTrackingRefBased/>
  <w15:docId w15:val="{0E356E6F-507B-4950-B585-D5F692AB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5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07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E50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585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458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A4585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9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1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web.ox.ac.uk/conducting-equality-impact-analys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u.web.ox.ac.uk/equality-impact-assessment-template-with-guidan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du.web.ox.ac.uk/equality-impact-assessment-template-with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7D3F9D1B64409154E1E407AC05AD" ma:contentTypeVersion="17" ma:contentTypeDescription="Create a new document." ma:contentTypeScope="" ma:versionID="092e1ac85defc6ca502550ac29409009">
  <xsd:schema xmlns:xsd="http://www.w3.org/2001/XMLSchema" xmlns:xs="http://www.w3.org/2001/XMLSchema" xmlns:p="http://schemas.microsoft.com/office/2006/metadata/properties" xmlns:ns3="f6480f2d-baa2-4fca-a740-edd2b143be4f" xmlns:ns4="655b343a-d1dd-464d-a9f4-e2225f0b2192" targetNamespace="http://schemas.microsoft.com/office/2006/metadata/properties" ma:root="true" ma:fieldsID="4f1a236f1b3504d357c0fd1418d51732" ns3:_="" ns4:_="">
    <xsd:import namespace="f6480f2d-baa2-4fca-a740-edd2b143be4f"/>
    <xsd:import namespace="655b343a-d1dd-464d-a9f4-e2225f0b2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0f2d-baa2-4fca-a740-edd2b143be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343a-d1dd-464d-a9f4-e2225f0b2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5b343a-d1dd-464d-a9f4-e2225f0b2192" xsi:nil="true"/>
  </documentManagement>
</p:properties>
</file>

<file path=customXml/itemProps1.xml><?xml version="1.0" encoding="utf-8"?>
<ds:datastoreItem xmlns:ds="http://schemas.openxmlformats.org/officeDocument/2006/customXml" ds:itemID="{D1E93CFE-4C59-4335-8336-8715BC027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0f2d-baa2-4fca-a740-edd2b143be4f"/>
    <ds:schemaRef ds:uri="655b343a-d1dd-464d-a9f4-e2225f0b2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72272-A7FD-4040-A2AF-FDCEE0FAB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AF348-03FB-4A0A-93C6-077EAF673B54}">
  <ds:schemaRefs>
    <ds:schemaRef ds:uri="http://schemas.microsoft.com/office/2006/metadata/properties"/>
    <ds:schemaRef ds:uri="http://schemas.microsoft.com/office/infopath/2007/PartnerControls"/>
    <ds:schemaRef ds:uri="655b343a-d1dd-464d-a9f4-e2225f0b2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Jones</dc:creator>
  <cp:keywords/>
  <dc:description/>
  <cp:lastModifiedBy>Haleigh Bellamy</cp:lastModifiedBy>
  <cp:revision>2</cp:revision>
  <cp:lastPrinted>2024-09-12T11:58:00Z</cp:lastPrinted>
  <dcterms:created xsi:type="dcterms:W3CDTF">2024-09-23T09:37:00Z</dcterms:created>
  <dcterms:modified xsi:type="dcterms:W3CDTF">2024-09-23T09:37:00Z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0x010100F8DF7D3F9D1B64409154E1E407AC05AD</vt:lpwstr>
  </property>
</Properties>
</file>